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hint="eastAsia" w:ascii="宋体" w:hAnsi="宋体"/>
          <w:sz w:val="28"/>
          <w:szCs w:val="28"/>
        </w:rPr>
      </w:pPr>
      <w:r>
        <w:rPr>
          <w:rFonts w:hint="eastAsia" w:ascii="宋体" w:hAnsi="宋体"/>
          <w:sz w:val="28"/>
          <w:szCs w:val="28"/>
        </w:rPr>
        <w:t>安全评价业务网上公开信息表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523"/>
        <w:gridCol w:w="642"/>
        <w:gridCol w:w="898"/>
        <w:gridCol w:w="709"/>
        <w:gridCol w:w="151"/>
        <w:gridCol w:w="330"/>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机构名称</w:t>
            </w:r>
          </w:p>
        </w:tc>
        <w:tc>
          <w:tcPr>
            <w:tcW w:w="4063" w:type="dxa"/>
            <w:gridSpan w:val="3"/>
            <w:noWrap w:val="0"/>
            <w:vAlign w:val="center"/>
          </w:tcPr>
          <w:p>
            <w:pPr>
              <w:spacing w:line="500" w:lineRule="exact"/>
              <w:rPr>
                <w:rFonts w:hint="eastAsia" w:ascii="宋体" w:hAnsi="宋体" w:cs="宋体"/>
                <w:sz w:val="24"/>
                <w:szCs w:val="24"/>
              </w:rPr>
            </w:pPr>
            <w:r>
              <w:rPr>
                <w:rFonts w:hint="eastAsia" w:ascii="宋体" w:hAnsi="宋体" w:cs="宋体"/>
                <w:sz w:val="24"/>
                <w:szCs w:val="24"/>
              </w:rPr>
              <w:t>贵州安科劳动保护技术有限责任公司</w:t>
            </w:r>
          </w:p>
        </w:tc>
        <w:tc>
          <w:tcPr>
            <w:tcW w:w="1190"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资质证号</w:t>
            </w:r>
          </w:p>
        </w:tc>
        <w:tc>
          <w:tcPr>
            <w:tcW w:w="2001"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APJ－(黔)－008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项目名称</w:t>
            </w:r>
          </w:p>
        </w:tc>
        <w:tc>
          <w:tcPr>
            <w:tcW w:w="4063"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lang w:eastAsia="zh-CN"/>
              </w:rPr>
              <w:t>云南齐安爆破工程有限公司宜良分公司宜良县宜良北古城民用爆炸物品储存库区重大危险源评估报告</w:t>
            </w:r>
            <w:r>
              <w:rPr>
                <w:rFonts w:hint="eastAsia" w:ascii="宋体" w:hAnsi="宋体" w:cs="宋体"/>
                <w:sz w:val="24"/>
                <w:szCs w:val="24"/>
              </w:rPr>
              <w:t xml:space="preserve"> </w:t>
            </w:r>
          </w:p>
        </w:tc>
        <w:tc>
          <w:tcPr>
            <w:tcW w:w="1190"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项目规模</w:t>
            </w:r>
          </w:p>
        </w:tc>
        <w:tc>
          <w:tcPr>
            <w:tcW w:w="2001" w:type="dxa"/>
            <w:noWrap w:val="0"/>
            <w:vAlign w:val="center"/>
          </w:tcPr>
          <w:p>
            <w:pPr>
              <w:spacing w:line="500" w:lineRule="exact"/>
              <w:rPr>
                <w:rFonts w:hint="eastAsia"/>
                <w:lang w:val="en-US" w:eastAsia="zh-CN"/>
              </w:rPr>
            </w:pPr>
            <w:r>
              <w:rPr>
                <w:rFonts w:hint="eastAsia"/>
                <w:lang w:eastAsia="zh-CN"/>
              </w:rPr>
              <w:t>炸药库</w:t>
            </w:r>
            <w:r>
              <w:rPr>
                <w:rFonts w:hint="eastAsia"/>
                <w:lang w:val="en-US" w:eastAsia="zh-CN"/>
              </w:rPr>
              <w:t>30t</w:t>
            </w:r>
          </w:p>
          <w:p>
            <w:pPr>
              <w:spacing w:line="500" w:lineRule="exact"/>
              <w:rPr>
                <w:rFonts w:hint="eastAsia"/>
                <w:lang w:val="en-US" w:eastAsia="zh-CN"/>
              </w:rPr>
            </w:pPr>
            <w:r>
              <w:rPr>
                <w:rFonts w:hint="eastAsia"/>
                <w:lang w:val="en-US" w:eastAsia="zh-CN"/>
              </w:rPr>
              <w:t>雷管库0.15t</w:t>
            </w:r>
          </w:p>
          <w:p>
            <w:pPr>
              <w:spacing w:line="500" w:lineRule="exact"/>
              <w:rPr>
                <w:rFonts w:hint="eastAsia"/>
                <w:lang w:eastAsia="zh-CN"/>
              </w:rPr>
            </w:pPr>
            <w:r>
              <w:rPr>
                <w:rFonts w:hint="eastAsia"/>
                <w:lang w:eastAsia="zh-CN"/>
              </w:rPr>
              <w:t>雷管发放间</w:t>
            </w:r>
            <w:r>
              <w:rPr>
                <w:rFonts w:hint="default"/>
                <w:lang w:eastAsia="zh-CN"/>
              </w:rPr>
              <w:t>0.001t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业务范围</w:t>
            </w:r>
          </w:p>
        </w:tc>
        <w:tc>
          <w:tcPr>
            <w:tcW w:w="3165" w:type="dxa"/>
            <w:gridSpan w:val="2"/>
            <w:noWrap w:val="0"/>
            <w:vAlign w:val="center"/>
          </w:tcPr>
          <w:p>
            <w:pPr>
              <w:spacing w:line="500" w:lineRule="exact"/>
              <w:jc w:val="center"/>
              <w:rPr>
                <w:rFonts w:hint="eastAsia" w:ascii="宋体" w:hAnsi="宋体" w:eastAsia="微软雅黑" w:cs="宋体"/>
                <w:sz w:val="24"/>
                <w:szCs w:val="24"/>
                <w:lang w:eastAsia="zh-CN"/>
              </w:rPr>
            </w:pPr>
            <w:r>
              <w:rPr>
                <w:rFonts w:hint="eastAsia" w:ascii="宋体" w:hAnsi="宋体" w:eastAsia="微软雅黑" w:cs="宋体"/>
                <w:sz w:val="24"/>
                <w:szCs w:val="24"/>
                <w:lang w:eastAsia="zh-CN"/>
              </w:rPr>
              <w:t>重大危险源评估</w:t>
            </w:r>
          </w:p>
        </w:tc>
        <w:tc>
          <w:tcPr>
            <w:tcW w:w="1758"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合同期限</w:t>
            </w:r>
          </w:p>
        </w:tc>
        <w:tc>
          <w:tcPr>
            <w:tcW w:w="2331" w:type="dxa"/>
            <w:gridSpan w:val="2"/>
            <w:noWrap w:val="0"/>
            <w:vAlign w:val="center"/>
          </w:tcPr>
          <w:p>
            <w:pPr>
              <w:spacing w:line="500" w:lineRule="exact"/>
              <w:jc w:val="center"/>
              <w:rPr>
                <w:rFonts w:ascii="宋体" w:hAnsi="宋体" w:eastAsia="微软雅黑"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项目类别</w:t>
            </w:r>
          </w:p>
        </w:tc>
        <w:tc>
          <w:tcPr>
            <w:tcW w:w="3165" w:type="dxa"/>
            <w:gridSpan w:val="2"/>
            <w:noWrap w:val="0"/>
            <w:vAlign w:val="center"/>
          </w:tcPr>
          <w:p>
            <w:pPr>
              <w:spacing w:line="500" w:lineRule="exact"/>
              <w:jc w:val="center"/>
              <w:rPr>
                <w:rFonts w:hint="eastAsia" w:ascii="宋体" w:hAnsi="宋体" w:cs="宋体"/>
                <w:sz w:val="24"/>
                <w:szCs w:val="24"/>
              </w:rPr>
            </w:pPr>
          </w:p>
        </w:tc>
        <w:tc>
          <w:tcPr>
            <w:tcW w:w="1758"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报告提交时间</w:t>
            </w:r>
          </w:p>
        </w:tc>
        <w:tc>
          <w:tcPr>
            <w:tcW w:w="2331" w:type="dxa"/>
            <w:gridSpan w:val="2"/>
            <w:noWrap w:val="0"/>
            <w:vAlign w:val="center"/>
          </w:tcPr>
          <w:p>
            <w:pPr>
              <w:spacing w:line="500" w:lineRule="exact"/>
              <w:jc w:val="center"/>
              <w:rPr>
                <w:rFonts w:ascii="宋体" w:hAnsi="宋体" w:eastAsia="微软雅黑" w:cs="宋体"/>
                <w:sz w:val="24"/>
                <w:szCs w:val="24"/>
              </w:rPr>
            </w:pPr>
            <w:r>
              <w:rPr>
                <w:rFonts w:hint="eastAsia" w:ascii="宋体" w:hAnsi="宋体" w:cs="宋体"/>
                <w:color w:val="000000"/>
                <w:sz w:val="24"/>
                <w:szCs w:val="24"/>
                <w:lang w:val="en-US" w:eastAsia="zh-CN"/>
              </w:rPr>
              <w:t xml:space="preserve">   2021 </w:t>
            </w:r>
            <w:r>
              <w:rPr>
                <w:rFonts w:hint="eastAsia" w:ascii="宋体" w:hAnsi="宋体" w:cs="宋体"/>
                <w:color w:val="000000"/>
                <w:sz w:val="24"/>
                <w:szCs w:val="24"/>
              </w:rPr>
              <w:t>年</w:t>
            </w:r>
            <w:r>
              <w:rPr>
                <w:rFonts w:hint="eastAsia" w:ascii="宋体" w:hAnsi="宋体" w:cs="宋体"/>
                <w:color w:val="000000"/>
                <w:sz w:val="24"/>
                <w:szCs w:val="24"/>
                <w:lang w:val="en-US" w:eastAsia="zh-CN"/>
              </w:rPr>
              <w:t xml:space="preserve"> 8 </w:t>
            </w:r>
            <w:r>
              <w:rPr>
                <w:rFonts w:hint="eastAsia" w:ascii="宋体" w:hAnsi="宋体" w:cs="宋体"/>
                <w:color w:val="000000"/>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523" w:type="dxa"/>
            <w:gridSpan w:val="8"/>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安全评价过程控制情况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9"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安全评价项目管理</w:t>
            </w:r>
          </w:p>
        </w:tc>
        <w:tc>
          <w:tcPr>
            <w:tcW w:w="2523"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项目组长</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技术负责人</w:t>
            </w:r>
          </w:p>
        </w:tc>
        <w:tc>
          <w:tcPr>
            <w:tcW w:w="248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过程控制负责人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69" w:type="dxa"/>
            <w:vMerge w:val="continue"/>
            <w:noWrap w:val="0"/>
            <w:vAlign w:val="center"/>
          </w:tcPr>
          <w:p>
            <w:pPr>
              <w:spacing w:line="500" w:lineRule="exact"/>
              <w:jc w:val="center"/>
              <w:rPr>
                <w:rFonts w:hint="eastAsia" w:ascii="宋体" w:hAnsi="宋体" w:cs="宋体"/>
                <w:sz w:val="24"/>
                <w:szCs w:val="24"/>
              </w:rPr>
            </w:pPr>
          </w:p>
        </w:tc>
        <w:tc>
          <w:tcPr>
            <w:tcW w:w="2523"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左旭昌</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雷胜利</w:t>
            </w:r>
          </w:p>
        </w:tc>
        <w:tc>
          <w:tcPr>
            <w:tcW w:w="248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欧红琴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69"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安全评价报告编制过程</w:t>
            </w:r>
          </w:p>
        </w:tc>
        <w:tc>
          <w:tcPr>
            <w:tcW w:w="4772" w:type="dxa"/>
            <w:gridSpan w:val="4"/>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报告编制人</w:t>
            </w:r>
          </w:p>
        </w:tc>
        <w:tc>
          <w:tcPr>
            <w:tcW w:w="248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报告审核人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69" w:type="dxa"/>
            <w:vMerge w:val="continue"/>
            <w:noWrap w:val="0"/>
            <w:vAlign w:val="center"/>
          </w:tcPr>
          <w:p>
            <w:pPr>
              <w:spacing w:line="500" w:lineRule="exact"/>
              <w:jc w:val="center"/>
              <w:rPr>
                <w:rFonts w:hint="eastAsia" w:ascii="宋体" w:hAnsi="宋体" w:cs="宋体"/>
                <w:sz w:val="24"/>
                <w:szCs w:val="24"/>
              </w:rPr>
            </w:pPr>
          </w:p>
        </w:tc>
        <w:tc>
          <w:tcPr>
            <w:tcW w:w="4772" w:type="dxa"/>
            <w:gridSpan w:val="4"/>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左旭昌、张娜</w:t>
            </w:r>
          </w:p>
        </w:tc>
        <w:tc>
          <w:tcPr>
            <w:tcW w:w="248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王志刚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269"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安全评价项目参与人员</w:t>
            </w:r>
          </w:p>
        </w:tc>
        <w:tc>
          <w:tcPr>
            <w:tcW w:w="2523"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安全评价师</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注册安全工程师</w:t>
            </w:r>
          </w:p>
        </w:tc>
        <w:tc>
          <w:tcPr>
            <w:tcW w:w="248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技术专家及技术人员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269" w:type="dxa"/>
            <w:vMerge w:val="continue"/>
            <w:noWrap w:val="0"/>
            <w:vAlign w:val="center"/>
          </w:tcPr>
          <w:p>
            <w:pPr>
              <w:spacing w:line="500" w:lineRule="exact"/>
              <w:jc w:val="center"/>
              <w:rPr>
                <w:rFonts w:hint="eastAsia" w:ascii="宋体" w:hAnsi="宋体" w:cs="宋体"/>
                <w:sz w:val="24"/>
                <w:szCs w:val="24"/>
              </w:rPr>
            </w:pPr>
          </w:p>
        </w:tc>
        <w:tc>
          <w:tcPr>
            <w:tcW w:w="2523"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左旭昌、张娜</w:t>
            </w:r>
          </w:p>
        </w:tc>
        <w:tc>
          <w:tcPr>
            <w:tcW w:w="2249" w:type="dxa"/>
            <w:gridSpan w:val="3"/>
            <w:noWrap w:val="0"/>
            <w:vAlign w:val="center"/>
          </w:tcPr>
          <w:p>
            <w:pPr>
              <w:spacing w:line="500" w:lineRule="exact"/>
              <w:jc w:val="center"/>
              <w:rPr>
                <w:rFonts w:hint="eastAsia" w:ascii="宋体" w:hAnsi="宋体" w:cs="宋体"/>
                <w:sz w:val="24"/>
                <w:szCs w:val="24"/>
              </w:rPr>
            </w:pPr>
          </w:p>
        </w:tc>
        <w:tc>
          <w:tcPr>
            <w:tcW w:w="2482" w:type="dxa"/>
            <w:gridSpan w:val="3"/>
            <w:noWrap w:val="0"/>
            <w:vAlign w:val="center"/>
          </w:tcPr>
          <w:p>
            <w:pPr>
              <w:spacing w:line="50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269"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安全评价项目现场开展工作情况</w:t>
            </w:r>
          </w:p>
        </w:tc>
        <w:tc>
          <w:tcPr>
            <w:tcW w:w="2523"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现场勘察人员</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勘察时间及任务</w:t>
            </w:r>
          </w:p>
        </w:tc>
        <w:tc>
          <w:tcPr>
            <w:tcW w:w="248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现场勘察照片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1269" w:type="dxa"/>
            <w:vMerge w:val="continue"/>
            <w:noWrap w:val="0"/>
            <w:vAlign w:val="center"/>
          </w:tcPr>
          <w:p>
            <w:pPr>
              <w:spacing w:line="500" w:lineRule="exact"/>
              <w:jc w:val="center"/>
              <w:rPr>
                <w:rFonts w:hint="eastAsia" w:ascii="宋体" w:hAnsi="宋体" w:cs="宋体"/>
                <w:sz w:val="24"/>
                <w:szCs w:val="24"/>
              </w:rPr>
            </w:pPr>
          </w:p>
        </w:tc>
        <w:tc>
          <w:tcPr>
            <w:tcW w:w="2523"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左旭昌</w:t>
            </w:r>
          </w:p>
        </w:tc>
        <w:tc>
          <w:tcPr>
            <w:tcW w:w="2249" w:type="dxa"/>
            <w:gridSpan w:val="3"/>
            <w:noWrap w:val="0"/>
            <w:vAlign w:val="center"/>
          </w:tcPr>
          <w:p>
            <w:pPr>
              <w:spacing w:line="500" w:lineRule="exact"/>
              <w:jc w:val="center"/>
              <w:rPr>
                <w:rFonts w:hint="eastAsia" w:ascii="宋体" w:hAnsi="宋体" w:cs="宋体"/>
                <w:sz w:val="24"/>
                <w:szCs w:val="24"/>
              </w:rPr>
            </w:pPr>
          </w:p>
        </w:tc>
        <w:tc>
          <w:tcPr>
            <w:tcW w:w="2482" w:type="dxa"/>
            <w:gridSpan w:val="3"/>
            <w:noWrap w:val="0"/>
            <w:vAlign w:val="center"/>
          </w:tcPr>
          <w:p>
            <w:pPr>
              <w:spacing w:line="50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6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安全评价项目简介</w:t>
            </w:r>
          </w:p>
        </w:tc>
        <w:tc>
          <w:tcPr>
            <w:tcW w:w="7254" w:type="dxa"/>
            <w:gridSpan w:val="7"/>
            <w:noWrap w:val="0"/>
            <w:vAlign w:val="center"/>
          </w:tcPr>
          <w:p>
            <w:pPr>
              <w:snapToGrid w:val="0"/>
              <w:spacing w:line="360" w:lineRule="auto"/>
              <w:ind w:firstLine="480" w:firstLineChars="200"/>
              <w:rPr>
                <w:rFonts w:hint="eastAsia"/>
                <w:sz w:val="24"/>
                <w:szCs w:val="24"/>
              </w:rPr>
            </w:pPr>
            <w:r>
              <w:rPr>
                <w:rFonts w:hint="default" w:ascii="宋体" w:hAnsi="宋体" w:cs="宋体"/>
                <w:sz w:val="24"/>
                <w:szCs w:val="24"/>
              </w:rPr>
              <w:t>云南齐安爆破工程有限公司宜良分公司</w:t>
            </w:r>
            <w:r>
              <w:rPr>
                <w:rFonts w:hint="eastAsia" w:ascii="宋体" w:hAnsi="宋体" w:cs="宋体"/>
                <w:sz w:val="24"/>
                <w:szCs w:val="24"/>
                <w:lang w:eastAsia="zh-CN"/>
              </w:rPr>
              <w:t>公司于</w:t>
            </w:r>
            <w:r>
              <w:rPr>
                <w:rFonts w:hint="default" w:ascii="宋体" w:hAnsi="宋体" w:cs="宋体"/>
                <w:sz w:val="24"/>
                <w:szCs w:val="24"/>
              </w:rPr>
              <w:t>2013年11月13日</w:t>
            </w:r>
            <w:r>
              <w:rPr>
                <w:rFonts w:hint="eastAsia" w:ascii="宋体" w:hAnsi="宋体" w:cs="宋体"/>
                <w:sz w:val="24"/>
                <w:szCs w:val="24"/>
                <w:lang w:eastAsia="zh-CN"/>
              </w:rPr>
              <w:t>成立，公司类型为</w:t>
            </w:r>
            <w:r>
              <w:rPr>
                <w:rFonts w:hint="default" w:ascii="宋体" w:hAnsi="宋体" w:cs="宋体"/>
                <w:sz w:val="24"/>
                <w:szCs w:val="24"/>
              </w:rPr>
              <w:t>有限责任公司分公司（自然人独资或控股）</w:t>
            </w:r>
            <w:r>
              <w:rPr>
                <w:rFonts w:hint="eastAsia" w:ascii="宋体" w:hAnsi="宋体" w:cs="宋体"/>
                <w:sz w:val="24"/>
                <w:szCs w:val="24"/>
                <w:lang w:eastAsia="zh-CN"/>
              </w:rPr>
              <w:t>，</w:t>
            </w:r>
            <w:r>
              <w:rPr>
                <w:rFonts w:hint="default" w:ascii="宋体" w:hAnsi="宋体" w:cs="宋体"/>
                <w:sz w:val="24"/>
                <w:szCs w:val="24"/>
              </w:rPr>
              <w:t>住所</w:t>
            </w:r>
            <w:r>
              <w:rPr>
                <w:rFonts w:hint="eastAsia" w:ascii="宋体" w:hAnsi="宋体" w:cs="宋体"/>
                <w:sz w:val="24"/>
                <w:szCs w:val="24"/>
                <w:lang w:eastAsia="zh-CN"/>
              </w:rPr>
              <w:t>位于</w:t>
            </w:r>
            <w:r>
              <w:rPr>
                <w:rFonts w:hint="default" w:ascii="宋体" w:hAnsi="宋体" w:cs="宋体"/>
                <w:sz w:val="24"/>
                <w:szCs w:val="24"/>
              </w:rPr>
              <w:t>云南省昆明市高新区二环西路398号高新信息中心主楼</w:t>
            </w:r>
            <w:r>
              <w:rPr>
                <w:rFonts w:hint="eastAsia" w:ascii="宋体" w:hAnsi="宋体" w:cs="宋体"/>
                <w:sz w:val="24"/>
                <w:szCs w:val="24"/>
                <w:lang w:eastAsia="zh-CN"/>
              </w:rPr>
              <w:t>，负责人</w:t>
            </w:r>
            <w:r>
              <w:rPr>
                <w:rFonts w:hint="default" w:ascii="宋体" w:hAnsi="宋体" w:cs="宋体"/>
                <w:sz w:val="24"/>
                <w:szCs w:val="24"/>
              </w:rPr>
              <w:t>李洪波</w:t>
            </w:r>
            <w:r>
              <w:rPr>
                <w:rFonts w:hint="eastAsia" w:ascii="宋体" w:hAnsi="宋体" w:cs="宋体"/>
                <w:sz w:val="24"/>
                <w:szCs w:val="24"/>
                <w:lang w:eastAsia="zh-CN"/>
              </w:rPr>
              <w:t>，主要从事</w:t>
            </w:r>
            <w:r>
              <w:rPr>
                <w:rFonts w:hint="default" w:ascii="宋体" w:hAnsi="宋体" w:cs="宋体"/>
                <w:sz w:val="24"/>
                <w:szCs w:val="24"/>
              </w:rPr>
              <w:t>爆破与拆除工程的设计与施工；工程监理、安全评估、爆破工程技术咨询服务；爆破工程配套器材的销售；普通机械、电子产品、五金交电、金属材料的销售（依法须经批准的项目，经相关部门批准后方可开展经营活动）</w:t>
            </w:r>
            <w:r>
              <w:rPr>
                <w:rFonts w:hint="default" w:ascii="Arial" w:hAnsi="Arial" w:cs="Arial"/>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26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评价项目其他信息</w:t>
            </w:r>
          </w:p>
        </w:tc>
        <w:tc>
          <w:tcPr>
            <w:tcW w:w="7254" w:type="dxa"/>
            <w:gridSpan w:val="7"/>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现场照片，另附下页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523" w:type="dxa"/>
            <w:gridSpan w:val="8"/>
            <w:noWrap w:val="0"/>
            <w:vAlign w:val="center"/>
          </w:tcPr>
          <w:p>
            <w:pPr>
              <w:pStyle w:val="5"/>
              <w:ind w:left="0" w:leftChars="0" w:firstLine="0" w:firstLineChars="0"/>
              <w:rPr>
                <w:rFonts w:hint="eastAsia"/>
              </w:rPr>
            </w:pPr>
          </w:p>
          <w:p>
            <w:pPr>
              <w:rPr>
                <w:rFonts w:hint="eastAsia"/>
              </w:rPr>
            </w:pPr>
          </w:p>
          <w:p>
            <w:pPr>
              <w:pStyle w:val="2"/>
              <w:rPr>
                <w:rFonts w:hint="eastAsia"/>
              </w:rPr>
            </w:pPr>
            <w:r>
              <w:drawing>
                <wp:inline distT="0" distB="0" distL="114300" distR="114300">
                  <wp:extent cx="5501640" cy="6750050"/>
                  <wp:effectExtent l="0" t="0" r="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501640" cy="6750050"/>
                          </a:xfrm>
                          <a:prstGeom prst="rect">
                            <a:avLst/>
                          </a:prstGeom>
                          <a:noFill/>
                          <a:ln>
                            <a:noFill/>
                          </a:ln>
                        </pic:spPr>
                      </pic:pic>
                    </a:graphicData>
                  </a:graphic>
                </wp:inline>
              </w:drawing>
            </w:r>
          </w:p>
          <w:p>
            <w:pPr>
              <w:rPr>
                <w:rFonts w:hint="eastAsia"/>
              </w:rPr>
            </w:pPr>
          </w:p>
          <w:p>
            <w:pPr>
              <w:pStyle w:val="2"/>
              <w:rPr>
                <w:rFonts w:hint="eastAsia"/>
              </w:rPr>
            </w:pPr>
          </w:p>
          <w:p>
            <w:pPr>
              <w:rPr>
                <w:rFonts w:hint="eastAsia"/>
              </w:rPr>
            </w:pPr>
            <w:r>
              <w:drawing>
                <wp:inline distT="0" distB="0" distL="114300" distR="114300">
                  <wp:extent cx="5283200" cy="7323455"/>
                  <wp:effectExtent l="0" t="0" r="508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83200" cy="7323455"/>
                          </a:xfrm>
                          <a:prstGeom prst="rect">
                            <a:avLst/>
                          </a:prstGeom>
                          <a:noFill/>
                          <a:ln>
                            <a:noFill/>
                          </a:ln>
                        </pic:spPr>
                      </pic:pic>
                    </a:graphicData>
                  </a:graphic>
                </wp:inline>
              </w:drawing>
            </w:r>
          </w:p>
          <w:p>
            <w:pPr>
              <w:pStyle w:val="2"/>
              <w:rPr>
                <w:rFonts w:hint="eastAsia"/>
              </w:rPr>
            </w:pPr>
          </w:p>
          <w:p>
            <w:pPr>
              <w:rPr>
                <w:rFonts w:hint="eastAsia"/>
              </w:rPr>
            </w:pPr>
          </w:p>
          <w:p>
            <w:pPr>
              <w:pStyle w:val="2"/>
              <w:rPr>
                <w:rFonts w:hint="eastAsia"/>
              </w:rPr>
            </w:pPr>
            <w:r>
              <w:drawing>
                <wp:anchor distT="0" distB="0" distL="114300" distR="114300" simplePos="0" relativeHeight="251659264" behindDoc="0" locked="0" layoutInCell="1" allowOverlap="1">
                  <wp:simplePos x="0" y="0"/>
                  <wp:positionH relativeFrom="column">
                    <wp:posOffset>178435</wp:posOffset>
                  </wp:positionH>
                  <wp:positionV relativeFrom="paragraph">
                    <wp:posOffset>1001395</wp:posOffset>
                  </wp:positionV>
                  <wp:extent cx="5244465" cy="4743450"/>
                  <wp:effectExtent l="0" t="0" r="13335" b="1143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244465" cy="4743450"/>
                          </a:xfrm>
                          <a:prstGeom prst="rect">
                            <a:avLst/>
                          </a:prstGeom>
                          <a:noFill/>
                          <a:ln>
                            <a:noFill/>
                          </a:ln>
                        </pic:spPr>
                      </pic:pic>
                    </a:graphicData>
                  </a:graphic>
                </wp:anchor>
              </w:drawing>
            </w: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5"/>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9" w:hRule="atLeast"/>
        </w:trPr>
        <w:tc>
          <w:tcPr>
            <w:tcW w:w="8523" w:type="dxa"/>
            <w:gridSpan w:val="8"/>
            <w:noWrap w:val="0"/>
            <w:vAlign w:val="center"/>
          </w:tcPr>
          <w:p>
            <w:pPr>
              <w:pStyle w:val="5"/>
              <w:ind w:left="0" w:leftChars="0" w:firstLine="0" w:firstLineChars="0"/>
              <w:jc w:val="center"/>
              <w:rPr>
                <w:rFonts w:hint="eastAsia"/>
                <w:lang w:eastAsia="zh-CN"/>
              </w:rPr>
            </w:pPr>
            <w:r>
              <w:rPr>
                <w:rFonts w:hint="eastAsia"/>
                <w:lang w:eastAsia="zh-CN"/>
              </w:rPr>
              <w:drawing>
                <wp:inline distT="0" distB="0" distL="114300" distR="114300">
                  <wp:extent cx="4857750" cy="3643630"/>
                  <wp:effectExtent l="0" t="0" r="3810" b="13970"/>
                  <wp:docPr id="3" name="图片 3" descr="微信图片_202106041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04141716"/>
                          <pic:cNvPicPr>
                            <a:picLocks noChangeAspect="1"/>
                          </pic:cNvPicPr>
                        </pic:nvPicPr>
                        <pic:blipFill>
                          <a:blip r:embed="rId7"/>
                          <a:stretch>
                            <a:fillRect/>
                          </a:stretch>
                        </pic:blipFill>
                        <pic:spPr>
                          <a:xfrm>
                            <a:off x="0" y="0"/>
                            <a:ext cx="4857750" cy="3643630"/>
                          </a:xfrm>
                          <a:prstGeom prst="rect">
                            <a:avLst/>
                          </a:prstGeom>
                          <a:noFill/>
                          <a:ln>
                            <a:noFill/>
                          </a:ln>
                        </pic:spPr>
                      </pic:pic>
                    </a:graphicData>
                  </a:graphic>
                </wp:inline>
              </w:drawing>
            </w:r>
          </w:p>
          <w:p>
            <w:pPr>
              <w:pStyle w:val="5"/>
              <w:ind w:left="0" w:leftChars="0" w:firstLine="0" w:firstLineChars="0"/>
              <w:jc w:val="center"/>
              <w:rPr>
                <w:rFonts w:hint="eastAsia" w:eastAsia="宋体"/>
                <w:lang w:eastAsia="zh-CN"/>
              </w:rPr>
            </w:pPr>
            <w:r>
              <w:rPr>
                <w:rFonts w:hint="eastAsia"/>
                <w:lang w:eastAsia="zh-CN"/>
              </w:rPr>
              <w:t>评价人员到现场照片</w:t>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YzFjZjJjMzI3MmJlNDczNDJkOTMzZGExOGQwOTIifQ=="/>
  </w:docVars>
  <w:rsids>
    <w:rsidRoot w:val="00000000"/>
    <w:rsid w:val="3F371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after="60" w:afterLines="0"/>
      <w:jc w:val="center"/>
      <w:outlineLvl w:val="0"/>
    </w:pPr>
    <w:rPr>
      <w:rFonts w:ascii="Arial" w:hAnsi="Arial" w:cs="Arial"/>
      <w:b/>
      <w:bCs/>
      <w:sz w:val="32"/>
      <w:szCs w:val="32"/>
    </w:rPr>
  </w:style>
  <w:style w:type="paragraph" w:styleId="4">
    <w:name w:val="Body Text"/>
    <w:basedOn w:val="1"/>
    <w:next w:val="1"/>
    <w:qFormat/>
    <w:uiPriority w:val="0"/>
    <w:pPr>
      <w:spacing w:after="120"/>
    </w:pPr>
  </w:style>
  <w:style w:type="paragraph" w:styleId="5">
    <w:name w:val="Body Text First Indent"/>
    <w:basedOn w:val="4"/>
    <w:next w:val="1"/>
    <w:qFormat/>
    <w:uiPriority w:val="0"/>
    <w:pPr>
      <w:ind w:firstLine="420" w:firstLineChars="1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2022-10-26T08:54:23Z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638EDAA392A0495AAC509A91FC4523F9</vt:lpwstr>
  </property>
</Properties>
</file>